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KI</w:t>
      </w:r>
      <w:r>
        <w:rPr/>
        <w:t xml:space="preserve"> Gemeinde : </w:t>
      </w:r>
      <w:r>
        <w:rPr>
          <w:b/>
          <w:bCs/>
        </w:rPr>
        <w:t>Rosenau / Hengstp.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09</w:t>
      </w:r>
      <w:r>
        <w:rPr/>
        <w:t xml:space="preserve"> </w:t>
      </w:r>
      <w:r>
        <w:rPr>
          <w:b/>
          <w:bCs/>
        </w:rPr>
        <w:t>14</w:t>
      </w:r>
      <w:r>
        <w:rPr/>
        <w:t xml:space="preserve"> Gesamtlänge in der Gemeinde : </w:t>
      </w:r>
      <w:r>
        <w:rPr>
          <w:b/>
          <w:bCs/>
        </w:rPr>
        <w:t>24,117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Dirngrabnerweg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1,188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6,793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Schöttlbauer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0,452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Langfeld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Geroldebnerweg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Rosenau 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Rosenau 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Rosenau 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Oberpaslerweg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1,056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5,512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1,005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Lerchbaum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3097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Windhager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0,607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4,108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0,607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3299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Trojer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0,617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3299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6492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Egglgut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1,718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11,160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6519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Schnecken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4,622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Weißensteiner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4,558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3,877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3,875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Fuchs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Klinser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Höllgraben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Hinterbuchriegl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6598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Innerrosenau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5,484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7,111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3,875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Innerrosenau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Steinfeld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0,297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Sagbauer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6593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Hinterreiter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3,120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Bodingreith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Krestenberg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6,301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3,891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Oberhaslreith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Grossklein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Unterklein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Klein Zu Lehen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2,157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Haus der Bamherzig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3,460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Schröck am Gföll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Horner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2,014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Wurbauer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2,014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Hinterfeld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8589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Unterpasler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0,137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4,914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8693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Giemelsberg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8808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Stubenbauer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6,126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9849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Mitterbuchriegl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0,571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3,286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0,571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2024-09-13T01:22:29Z</dcterms:created>
  <dc:creator/>
  <dc:description/>
  <cp:keywords/>
  <dc:language>en-US</dc:language>
  <cp:lastModifiedBy/>
  <dcterms:modified xsi:type="dcterms:W3CDTF">2024-09-13T01:22:29Z</dcterms:modified>
  <cp:revision>0</cp:revision>
  <dc:subject/>
  <dc:title/>
</cp:coreProperties>
</file>